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都江堰市第三人民医院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相关产品检查项目参考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韦氏儿童智力测验(WISC-Ⅳ)功能说明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1. 词汇测试：评估儿童的词汇量和语言理解能力。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2. 相似性测试：测量儿童的概念形成和推理能力。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3. 图形推理测试：评估儿童的空间感知和图形推理能力。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4. 矩阵推理测试：测量儿童的逻辑推理和问题解决能力。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5. 数字记忆测试：评估儿童的短期记忆和注意力水平。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6. 符号搜索测试：测量儿童的注意力和专注能力。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韦氏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智力测验(WISC-Ⅳ)功能说明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4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领悟分测验：此测验主要测量判断能力、运用实际知识解决新问题的能力以及一般知识。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知识分测验：此测验主要测量人的知识广度、一般的学习及接受能力、对材料的记忆及对日常事物的认识能力。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4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算术分测验：此测验主要测量数学计算的推理能力及主动注意的能力。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相似性分测验：此测验设计用来测量逻辑思维能力、抽象思维能力与概括能力。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5、数字广度分测验：此测验主要测量人的注意力和短时记忆能力。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词汇分测验：本测验主要测量人的言语理解能力，与抽象概括能力有关，同时能在一定程度上了解其知识范围和文化背景。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数字符号分测验：该测验主要测量一般的学习能力、知觉辨别能力及灵活性，以及动机强度等。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图画填充分测验：此测验主要测量人的视觉辨认能力，以及视觉记忆与视觉理解能力。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木块图分测验：该测验主要测量辨认空间关系的能力、视觉结构的分析和综合能力，以及视觉运动协调能力等。。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10、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图片排列分测验：此测验主要测量被试者的分析综合能力、观察因果关系的能力、社会计划性、预期力和幽默感等。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pacing w:val="5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11、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4"/>
          <w:sz w:val="32"/>
          <w:szCs w:val="32"/>
          <w:shd w:val="clear" w:fill="FFFFFF"/>
        </w:rPr>
        <w:t>图形拼凑分测验：此测验主要测量处理局部与整体关系的能力、概括思维能力、知觉组织能力以及辨别能力。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  <w:t>三、全自动电解质分析仪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 w:bidi="ar"/>
        </w:rPr>
        <w:t>电解质离子：</w:t>
      </w:r>
      <w:r>
        <w:rPr>
          <w:rFonts w:hint="eastAsia" w:ascii="仿宋" w:hAnsi="仿宋" w:eastAsia="仿宋" w:cs="仿宋"/>
          <w:color w:val="404040"/>
          <w:kern w:val="0"/>
          <w:sz w:val="32"/>
          <w:szCs w:val="32"/>
          <w:lang w:val="en-US" w:eastAsia="zh-CN" w:bidi="ar"/>
        </w:rPr>
        <w:t>钾离子(K+)，钠离子(Na+)，氯离子(Cl-)，钙离子(Ca2+)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  <w:t>四、便携式动态心电图仪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00"/>
        <w:textAlignment w:val="auto"/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val="en-US" w:eastAsia="zh-CN"/>
        </w:rPr>
        <w:t>可进行24小时动态心电图监测和心率变异性分析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五、便携式动态血压检测仪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00"/>
        <w:textAlignment w:val="auto"/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val="en-US" w:eastAsia="zh-CN"/>
        </w:rPr>
        <w:t>可用于24小时动态血压监测和分析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  <w:t>六、全自动血球分析仪5分类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00"/>
        <w:textAlignment w:val="auto"/>
        <w:rPr>
          <w:rFonts w:hint="eastAsia" w:ascii="仿宋" w:hAnsi="仿宋" w:eastAsia="仿宋" w:cs="仿宋"/>
          <w:spacing w:val="15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u w:val="none"/>
          <w:shd w:val="clear" w:color="auto" w:fill="FFFFFF"/>
          <w:lang w:eastAsia="zh-CN"/>
        </w:rPr>
        <w:t>可检测：</w:t>
      </w:r>
      <w:r>
        <w:rPr>
          <w:rFonts w:hint="eastAsia" w:ascii="仿宋" w:hAnsi="仿宋" w:eastAsia="仿宋" w:cs="仿宋"/>
          <w:spacing w:val="15"/>
          <w:sz w:val="32"/>
          <w:szCs w:val="32"/>
          <w:u w:val="none"/>
          <w:shd w:val="clear" w:color="auto" w:fill="FFFFFF"/>
        </w:rPr>
        <w:t>白细胞总数，白细胞分类及百分比项目：中性粒细胞，单核细胞，淋巴细胞，嗜酸性粒细胞，嗜碱性粒细胞，红细胞总数，平均血红蛋白含量，平均血红蛋白分布，红细胞分布比率，红细胞变异系数，红细胞压积，红细胞平均体积，血红蛋白含量，血小板总数，血小板平均体积，大血小板比例，大血小板数量，血小板体积，血小板分布宽度。C反应蛋白，超敏C反应蛋白</w:t>
      </w:r>
      <w:r>
        <w:rPr>
          <w:rFonts w:hint="eastAsia" w:ascii="仿宋" w:hAnsi="仿宋" w:eastAsia="仿宋" w:cs="仿宋"/>
          <w:spacing w:val="15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  <w:t>七、干免免疫荧光分析仪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00"/>
        <w:textAlignment w:val="auto"/>
        <w:rPr>
          <w:rFonts w:hint="eastAsia" w:ascii="仿宋" w:hAnsi="仿宋" w:eastAsia="仿宋" w:cs="仿宋"/>
          <w:b/>
          <w:bCs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</w:rPr>
        <w:t>预期用途：体外定量测定人血清、人血浆、人全血样本中肌钙蛋白I的浓度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</w:rPr>
        <w:t>B型利钠肽的浓度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</w:rPr>
        <w:t>N末端心房利钠肽前体的浓度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</w:rPr>
        <w:t>C反应蛋白的浓度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</w:rPr>
        <w:t>白介素6的浓度</w:t>
      </w:r>
      <w:r>
        <w:rPr>
          <w:rFonts w:hint="eastAsia" w:ascii="仿宋" w:hAnsi="仿宋" w:eastAsia="仿宋" w:cs="仿宋"/>
          <w:spacing w:val="15"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Dk1ODM1YWQ5OWE5NWZhYzUwM2Q5OWRhMWVjZjAifQ=="/>
  </w:docVars>
  <w:rsids>
    <w:rsidRoot w:val="18921CCC"/>
    <w:rsid w:val="0993046E"/>
    <w:rsid w:val="18921CCC"/>
    <w:rsid w:val="314A0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2024-03-28T08:40:00Z</dcterms:created>
  <dc:creator>MacBook Pro</dc:creator>
  <cp:lastModifiedBy>Administrator</cp:lastModifiedBy>
  <dcterms:modified xsi:type="dcterms:W3CDTF">2024-04-01T03:18:36Z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A6B710455C194255823D5168BA6863DE_12</vt:lpwstr>
  </property>
</Properties>
</file>